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FC-0020 · Corporate</w:t>
      </w:r>
    </w:p>
    <w:p>
      <w:pPr>
        <w:pStyle w:val="Title"/>
      </w:pPr>
      <w:r>
        <w:t xml:space="preserve">The Private Subsidiary of a Public Company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private company that is a subsidiary of a public company is deemed public: what changes and what does not.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2(71), proviso</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https://fpr.iura.in/fictions/deemed-public-company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