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FC-0111 · Tax</w:t>
      </w:r>
    </w:p>
    <w:p>
      <w:pPr>
        <w:pStyle w:val="Title"/>
      </w:pPr>
      <w:r>
        <w:t xml:space="preserve">Deemed Short-Term Capital Gain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gains on depreciable assets are always treated as short-term, however long the asset was held.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https://fpr.iura.in/fictions/deemed-short-term-capital-gain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