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FC-0001 · Interpretation</w:t>
      </w:r>
    </w:p>
    <w:p>
      <w:pPr>
        <w:pStyle w:val="Title"/>
      </w:pPr>
      <w:r>
        <w:t xml:space="preserve">Deeming Provisions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How a statutory fiction is read: carried to its logical end, but not beyond the purpose for which it was created.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Pandurang Vinayak, AIR 1953 SC 244</w:t>
      </w:r>
    </w:p>
    <w:p>
      <w:pPr>
        <w:pStyle w:val="Bullet"/>
      </w:pPr>
      <w:r>
        <w:t xml:space="preserve">•  East End Dwellings Co. Ltd. v. Finsbury Borough Council, [1952] AC 109</w:t>
      </w:r>
    </w:p>
    <w:p>
      <w:pPr>
        <w:pStyle w:val="Bullet"/>
      </w:pPr>
      <w:r>
        <w:t xml:space="preserve">•  Bengal Immunity Co. Ltd. v. State of Bihar, AIR 1955 SC 661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https://fpr.iura.in/fictions/deeming-provisions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