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FC-0003 · Property</w:t>
      </w:r>
    </w:p>
    <w:p>
      <w:pPr>
        <w:pStyle w:val="Title"/>
      </w:pPr>
      <w:r>
        <w:t xml:space="preserve">The Deity as a Juristic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Hindu idol as owner of property, acting through a shebait, and the extension of personality to other religious objects.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Pramatha Nath Mullick v. Pradyumna Kumar Mullick, (1925) 52 IA 245</w:t>
      </w:r>
    </w:p>
    <w:p>
      <w:pPr>
        <w:pStyle w:val="Bullet"/>
      </w:pPr>
      <w:r>
        <w:t xml:space="preserve">•  Shiromani Gurdwara Prabandhak Committee v. Som Nath Dass, (2000) 4 SCC 146</w:t>
      </w:r>
    </w:p>
    <w:p>
      <w:pPr>
        <w:pStyle w:val="Bullet"/>
      </w:pPr>
      <w:r>
        <w:t xml:space="preserve">•  M. Siddiq v. Mahant Suresh Das, (2020) 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https://fpr.iura.in/fictions/deity-as-juristic-person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