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FC-0104 · Contract</w:t>
      </w:r>
    </w:p>
    <w:p>
      <w:pPr>
        <w:pStyle w:val="Title"/>
      </w:pPr>
      <w:r>
        <w:t xml:space="preserve">Delivery to a Carrier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handing goods to a carrier for the buyer is treated as delivery to the buyer.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https://fpr.iura.in/fictions/delivery-to-a-carrier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