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FC-0096 · Private International</w:t>
      </w:r>
    </w:p>
    <w:p>
      <w:pPr>
        <w:pStyle w:val="Title"/>
      </w:pPr>
      <w:r>
        <w:t xml:space="preserve">Domicile of Dependence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wife takes her husband’s domicile and a minor the parent’s, whatever the facts.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14–17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https://fpr.iura.in/fictions/domicile-of-dependence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