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FC-0069 · Property</w:t>
      </w:r>
    </w:p>
    <w:p>
      <w:pPr>
        <w:pStyle w:val="Title"/>
      </w:pPr>
      <w:r>
        <w:t xml:space="preserve">Holding Over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renewal of a lease from year to year or month to month that the law implies when the landlord accepts rent after the term.</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https://fpr.iura.in/fictions/holding-over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