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FC-0083 · Tax</w:t>
      </w:r>
    </w:p>
    <w:p>
      <w:pPr>
        <w:pStyle w:val="Title"/>
      </w:pPr>
      <w:r>
        <w:t xml:space="preserve">Income Deemed to Accrue in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that treats certain income of non-residents as arising in India whatever the place of payment.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https://fpr.iura.in/fictions/income-deemed-to-accrue-in-india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