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FC-0081 · Labour</w:t>
      </w:r>
    </w:p>
    <w:p>
      <w:pPr>
        <w:pStyle w:val="Title"/>
      </w:pPr>
      <w:r>
        <w:t xml:space="preserve">Individual Dispute as Industrial Dispute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provision treating one workman’s dispute over dismissal as an industrial dispute though no union takes it up.</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Industrial Disputes Act, 1947, § 2A</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https://fpr.iura.in/fictions/individual-dispute-as-industrial-dispute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