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FC-0090 · International (Public)</w:t>
      </w:r>
    </w:p>
    <w:p>
      <w:pPr>
        <w:pStyle w:val="Title"/>
      </w:pPr>
      <w:r>
        <w:t xml:space="preserve">Inviolability of Mission Premises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old fiction that an embassy is foreign soil, and the rule of inviolability that replaced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Diplomatic Relations, art. 22, Apr. 18, 1961, 500 U.N.T.S. 95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https://fpr.iura.in/fictions/inviolability-of-mission-premises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