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FC-0065 · Civil Procedure</w:t>
      </w:r>
    </w:p>
    <w:p>
      <w:pPr>
        <w:pStyle w:val="Title"/>
      </w:pPr>
      <w:r>
        <w:t xml:space="preserve">Lok Adalat Award as a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that an award of a Lok Adalat is deemed to be a decree of a civil court, final and without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Legal Services Authorities Act, 1987, §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https://fpr.iura.in/fictions/lok-adalat-award-as-a-decree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