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FC-0017 · Property</w:t>
      </w:r>
    </w:p>
    <w:p>
      <w:pPr>
        <w:pStyle w:val="Title"/>
      </w:pPr>
      <w:r>
        <w:t xml:space="preserve">The Lost Grant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Long uninterrupted enjoyment presumed to rest on a grant since lost: an evidentiary fiction to quiet title.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Buddu Satyanarayana v. Konduru Venkatapayya, AIR 1953 SC 195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https://fpr.iura.in/fictions/lost-grant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