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FC-0031 · Banking</w:t>
      </w:r>
    </w:p>
    <w:p>
      <w:pPr>
        <w:pStyle w:val="Title"/>
      </w:pPr>
      <w:r>
        <w:t xml:space="preserve">The Moratorium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On admission of an insolvency application all suits and recoveries against the company are deemed stayed.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14</w:t>
      </w:r>
    </w:p>
    <w:p>
      <w:pPr>
        <w:pStyle w:val="Bullet"/>
      </w:pPr>
      <w:r>
        <w:t xml:space="preserve">•  P. Mohanraj v. Shah Bros. Ispat (P) Ltd., (2021) 6 SCC 258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https://fpr.iura.in/fictions/moratorium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