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FC-0004 · Family</w:t>
      </w:r>
    </w:p>
    <w:p>
      <w:pPr>
        <w:pStyle w:val="Title"/>
      </w:pPr>
      <w:r>
        <w:t xml:space="preserve">Notional Partition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partition deemed to occur immediately before a coparcener’s death, and how far its consequences run.</w:t>
      </w:r>
    </w:p>
    <w:p>
      <w:pPr>
        <w:pStyle w:val="Guidance"/>
      </w:pPr>
      <w:r>
        <w:t xml:space="preserve">Authorities to start from. These are places to begin, listed by the editors. Read each one in the original and check the citation before you rely on it.</w:t>
      </w:r>
    </w:p>
    <w:p>
      <w:pPr>
        <w:pStyle w:val="Bullet"/>
      </w:pPr>
      <w:r>
        <w:t xml:space="preserve">•  Gurupad Khandappa Magdum v. Hirabai Khandappa Magdum, (1978) 3 SCC 383</w:t>
      </w:r>
    </w:p>
    <w:p>
      <w:pPr>
        <w:pStyle w:val="Bullet"/>
      </w:pPr>
      <w:r>
        <w:t xml:space="preserve">•  Hindu Succession Act, 1956, §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https://fpr.iura.in/fictions/notional-partition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