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FC-0029 · Securities</w:t>
      </w:r>
    </w:p>
    <w:p>
      <w:pPr>
        <w:pStyle w:val="Title"/>
      </w:pPr>
      <w:r>
        <w:t xml:space="preserve">Persons Acting in Concert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Persons deemed to be acting together in acquiring shares or control, so that their holdings are added up.</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(Substantial Acquisition of Shares and Takeovers) Regulations, 2011, reg. 2(1)(q)</w:t>
      </w:r>
    </w:p>
    <w:p>
      <w:pPr>
        <w:pStyle w:val="Bullet"/>
      </w:pPr>
      <w:r>
        <w:t xml:space="preserve">•  Daiichi Sankyo Co. Ltd. v. Jayaram Chigurupati, (2010) 7 SCC 449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https://fpr.iura.in/fictions/persons-acting-in-concert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