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FC-0056 · Criminal</w:t>
      </w:r>
    </w:p>
    <w:p>
      <w:pPr>
        <w:pStyle w:val="Title"/>
      </w:pPr>
      <w:r>
        <w:t xml:space="preserve">Presumption of Culpable Mental State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statutory presumption that the accused had the mental state the offence requires, until they prove the contrary.</w:t>
      </w:r>
    </w:p>
    <w:p>
      <w:pPr>
        <w:pStyle w:val="Guidance"/>
      </w:pPr>
      <w:r>
        <w:t xml:space="preserve">Authorities to start from. These are places to begin, listed by the editors. Read each one in the original and check the citation before you rely on it.</w:t>
      </w:r>
    </w:p>
    <w:p>
      <w:pPr>
        <w:pStyle w:val="Bullet"/>
      </w:pPr>
      <w:r>
        <w:t xml:space="preserve">•  Narcotic Drugs and Psychotropic Substances Act, 1985, § 35</w:t>
      </w:r>
    </w:p>
    <w:p>
      <w:pPr>
        <w:pStyle w:val="Bullet"/>
      </w:pPr>
      <w:r>
        <w:t xml:space="preserve">•  Protection of Children from Sexual Offences Act, 2012, §§ 29, 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https://fpr.iura.in/fictions/presumption-of-culpable-mental-state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