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FC-0023 · Family</w:t>
      </w:r>
    </w:p>
    <w:p>
      <w:pPr>
        <w:pStyle w:val="Title"/>
      </w:pPr>
      <w:r>
        <w:t xml:space="preserve">Marriage Presumed from Cohabitation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man and woman who live together for long as husband and wife are presumed married.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Badri Prasad v. Dy. Director of Consolidation, (1978) 3 SCC 527</w:t>
      </w:r>
    </w:p>
    <w:p>
      <w:pPr>
        <w:pStyle w:val="Bullet"/>
      </w:pPr>
      <w:r>
        <w:t xml:space="preserve">•  Indian Evidence Act, 1872, § 114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https://fpr.iura.in/fictions/presumption-of-marriage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