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FC-0043 · Tort</w:t>
      </w:r>
    </w:p>
    <w:p>
      <w:pPr>
        <w:pStyle w:val="Title"/>
      </w:pPr>
      <w:r>
        <w:t xml:space="preserve">The Reasonable Person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imagined person of ordinary prudence against whose conduct negligence is measured.</w:t>
      </w:r>
    </w:p>
    <w:p>
      <w:pPr>
        <w:pStyle w:val="Guidance"/>
      </w:pPr>
      <w:r>
        <w:t xml:space="preserve">Authorities to start from. These are places to begin, listed by the editors. Read each one in the original and check the citation before you rely on it.</w:t>
      </w:r>
    </w:p>
    <w:p>
      <w:pPr>
        <w:pStyle w:val="Bullet"/>
      </w:pPr>
      <w:r>
        <w:t xml:space="preserve">•  Vaughan v. Menlove, (1837) 3 Bing NC 468</w:t>
      </w:r>
    </w:p>
    <w:p>
      <w:pPr>
        <w:pStyle w:val="Bullet"/>
      </w:pPr>
      <w:r>
        <w:t xml:space="preserve">•  Blyth v. Birmingham Waterworks Co., (1856) 11 Exch 781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https://fpr.iura.in/fictions/reasonable-person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