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FC-0005 · Family</w:t>
      </w:r>
    </w:p>
    <w:p>
      <w:pPr>
        <w:pStyle w:val="Title"/>
      </w:pPr>
      <w:r>
        <w:t xml:space="preserve">Relation Back in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old fiction that an adoption by a widow dates back to her husband’s death, and what the 1956 Act left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Shrinivas Krishnarao Kango v. Narayan Devji Kango, AIR 1954 SC 379</w:t>
      </w:r>
    </w:p>
    <w:p>
      <w:pPr>
        <w:pStyle w:val="Bullet"/>
      </w:pPr>
      <w:r>
        <w:t xml:space="preserve">•  Sawan Ram v. Kalawanti, AIR 1967 SC 1761</w:t>
      </w:r>
    </w:p>
    <w:p>
      <w:pPr>
        <w:pStyle w:val="Bullet"/>
      </w:pPr>
      <w:r>
        <w:t xml:space="preserve">•  Hindu Adoptions and Maintenance Act, 1956, § 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https://fpr.iura.in/fictions/relation-back-in-adoption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