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FC-0041 · International (Public)</w:t>
      </w:r>
    </w:p>
    <w:p>
      <w:pPr>
        <w:pStyle w:val="Title"/>
      </w:pPr>
      <w:r>
        <w:t xml:space="preserve">The Ship as Territory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A vessel on the high seas is treated as part of the State whose flag it flies, for jurisdiction over what happens on board.</w:t>
      </w:r>
    </w:p>
    <w:p>
      <w:pPr>
        <w:pStyle w:val="Guidance"/>
      </w:pPr>
      <w:r>
        <w:t xml:space="preserve">Authorities to start from. These are places to begin, listed by the editors. Read each one in the original and check the citation before you rely on it.</w:t>
      </w:r>
    </w:p>
    <w:p>
      <w:pPr>
        <w:pStyle w:val="Bullet"/>
      </w:pPr>
      <w:r>
        <w:t xml:space="preserve">•  S.S. Lotus (Fr. v. Turk.), 1927 P.C.I.J. (ser. A) No. 10</w:t>
      </w:r>
    </w:p>
    <w:p>
      <w:pPr>
        <w:pStyle w:val="Bullet"/>
      </w:pPr>
      <w:r>
        <w:t xml:space="preserve">•  United Nations Convention on the Law of the Sea arts. 92, 97, Dec. 10, 1982, 1833 U.N.T.S. 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https://fpr.iura.in/fictions/ship-as-territory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