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Fiction · FC-0117 · Tech &amp; Data</w:t>
      </w:r>
    </w:p>
    <w:p>
      <w:pPr>
        <w:pStyle w:val="Title"/>
      </w:pPr>
      <w:r>
        <w:t xml:space="preserve">Time and Place of Electronic Dispatch</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law treats as true</w:t>
      </w:r>
    </w:p>
    <w:p>
      <w:pPr>
        <w:pStyle w:val="Guidance"/>
      </w:pPr>
      <w:r>
        <w:t xml:space="preserve">State the fiction and the provision or case that creates it.</w:t>
      </w:r>
    </w:p>
    <w:p/>
    <w:p>
      <w:pPr>
        <w:pStyle w:val="Heading1"/>
      </w:pPr>
      <w:r>
        <w:t xml:space="preserve">Why the law does this</w:t>
      </w:r>
    </w:p>
    <w:p>
      <w:pPr>
        <w:pStyle w:val="Guidance"/>
      </w:pPr>
      <w:r>
        <w:t xml:space="preserve">The problem the fiction solves.</w:t>
      </w:r>
    </w:p>
    <w:p/>
    <w:p>
      <w:pPr>
        <w:pStyle w:val="Heading1"/>
      </w:pPr>
      <w:r>
        <w:t xml:space="preserve">How far it goes</w:t>
      </w:r>
    </w:p>
    <w:p>
      <w:pPr>
        <w:pStyle w:val="Guidance"/>
      </w:pPr>
      <w:r>
        <w:t xml:space="preserve">The consequences courts have drawn from it.</w:t>
      </w:r>
    </w:p>
    <w:p/>
    <w:p>
      <w:pPr>
        <w:pStyle w:val="Heading1"/>
      </w:pPr>
      <w:r>
        <w:t xml:space="preserve">Where courts stopped</w:t>
      </w:r>
    </w:p>
    <w:p>
      <w:pPr>
        <w:pStyle w:val="Guidance"/>
      </w:pPr>
      <w:r>
        <w:t xml:space="preserve">Cases that refused to extend the fiction further.</w:t>
      </w:r>
    </w:p>
    <w:p/>
    <w:p>
      <w:pPr>
        <w:pStyle w:val="Heading1"/>
      </w:pPr>
      <w:r>
        <w:t xml:space="preserve">What is unsettled</w:t>
      </w:r>
    </w:p>
    <w:p>
      <w:pPr>
        <w:pStyle w:val="Guidance"/>
      </w:pPr>
      <w:r>
        <w:t xml:space="preserve">Open questions about its limits.</w:t>
      </w:r>
    </w:p>
    <w:p/>
    <w:p>
      <w:pPr>
        <w:pStyle w:val="Heading1"/>
      </w:pPr>
      <w:r>
        <w:t xml:space="preserve">Notes for the writer (delete before submitting)</w:t>
      </w:r>
    </w:p>
    <w:p>
      <w:pPr>
        <w:pStyle w:val="Guidance"/>
      </w:pPr>
      <w:r>
        <w:t xml:space="preserve">Scope of this entry. The rule that an electronic record is deemed sent from and received at the parties’ places of business, wherever the servers are.</w:t>
      </w:r>
    </w:p>
    <w:p>
      <w:pPr>
        <w:pStyle w:val="Guidance"/>
      </w:pPr>
      <w:r>
        <w:t xml:space="preserve">Authorities to start from. These are places to begin, listed by the editors. Read each one in the original and check the citation before you rely on it.</w:t>
      </w:r>
    </w:p>
    <w:p>
      <w:pPr>
        <w:pStyle w:val="Bullet"/>
      </w:pPr>
      <w:r>
        <w:t xml:space="preserve">•  Information Technology Act, 2000, § 13</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https://fpr.iura.in/fictions/time-and-place-of-electronic-dispatch</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