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FC-0018 · Property</w:t>
      </w:r>
    </w:p>
    <w:p>
      <w:pPr>
        <w:pStyle w:val="Title"/>
      </w:pPr>
      <w:r>
        <w:t xml:space="preserve">Transfer for the Benefit of an Unborn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Property cannot be transferred to a person not in existence, but may be settled for one: the mechanism and its limits.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13–14</w:t>
      </w:r>
    </w:p>
    <w:p>
      <w:pPr>
        <w:pStyle w:val="Bullet"/>
      </w:pPr>
      <w:r>
        <w:t xml:space="preserve">•  Indian Succession Act, 1925, §§ 113–114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https://fpr.iura.in/fictions/unborn-person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