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LC-0028 · Labour</w:t>
      </w:r>
    </w:p>
    <w:p>
      <w:pPr>
        <w:pStyle w:val="Title"/>
      </w:pPr>
      <w:r>
        <w:t xml:space="preserve">Four Labour Codes, Not in Force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Twenty-nine statutes were consolidated in 2019 and 2020; the codes await notification and the old law continues.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on Wages, 2019</w:t>
      </w:r>
    </w:p>
    <w:p>
      <w:pPr>
        <w:pStyle w:val="Bullet"/>
      </w:pPr>
      <w:r>
        <w:t xml:space="preserve">•  Industrial Relations Code, 2020</w:t>
      </w:r>
    </w:p>
    <w:p>
      <w:pPr>
        <w:pStyle w:val="Bullet"/>
      </w:pPr>
      <w:r>
        <w:t xml:space="preserve">•  Code on Social Security, 2020</w:t>
      </w:r>
    </w:p>
    <w:p>
      <w:pPr>
        <w:pStyle w:val="Bullet"/>
      </w:pPr>
      <w:r>
        <w:t xml:space="preserve">•  Occupational Safety, Health and Working Conditions Code, 2020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https://fpr.iura.in/lacunae/labour-codes-not-in-force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