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LC-0072 · Property</w:t>
      </w:r>
    </w:p>
    <w:p>
      <w:pPr>
        <w:pStyle w:val="Title"/>
      </w:pPr>
      <w:r>
        <w:t xml:space="preserve">A Model Tenancy Law Few States Have Adopted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Rent control laws from the 1940s and 1950s still govern most tenancies; the 2021 model law is optional.</w:t>
      </w:r>
    </w:p>
    <w:p>
      <w:pPr>
        <w:pStyle w:val="Guidance"/>
      </w:pPr>
      <w:r>
        <w:t xml:space="preserve">Authorities to start from. These are places to begin, listed by the editors. Read each one in the original and check the citation before you rely on it.</w:t>
      </w:r>
    </w:p>
    <w:p>
      <w:pPr>
        <w:pStyle w:val="Bullet"/>
      </w:pPr>
      <w:r>
        <w:t xml:space="preserve">•  Model Tenancy Act, 2021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https://fpr.iura.in/lacunae/model-tenancy-act-unadopted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