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LC-0063 · Human Rights</w:t>
      </w:r>
    </w:p>
    <w:p>
      <w:pPr>
        <w:pStyle w:val="Title"/>
      </w:pPr>
      <w:r>
        <w:t xml:space="preserve">Human Rights Commissions That Can Only Recommend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Whether a government may ignore a recommendation for compensation, and the High Courts that say it may not.</w:t>
      </w:r>
    </w:p>
    <w:p>
      <w:pPr>
        <w:pStyle w:val="Guidance"/>
      </w:pPr>
      <w:r>
        <w:t xml:space="preserve">Authorities to start from. These are places to begin, listed by the editors. Read each one in the original and check the citation before you rely on it.</w:t>
      </w:r>
    </w:p>
    <w:p>
      <w:pPr>
        <w:pStyle w:val="Bullet"/>
      </w:pPr>
      <w:r>
        <w:t xml:space="preserve">•  Protection of Human Rights Act, 1993, § 18</w:t>
      </w:r>
    </w:p>
    <w:p>
      <w:pPr>
        <w:pStyle w:val="Bullet"/>
      </w:pPr>
      <w:r>
        <w:t xml:space="preserve">•  State of U.P. v. National Human Rights Commission, 2016 SCC OnLine All 239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https://fpr.iura.in/lacunae/no-binding-nhrc-orders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