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LC-0009 · Civil Procedure</w:t>
      </w:r>
    </w:p>
    <w:p>
      <w:pPr>
        <w:pStyle w:val="Title"/>
      </w:pPr>
      <w:r>
        <w:t xml:space="preserve">No Working Class Action for Mass Harm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Representative suits and the Companies Act class action exist, but there is no general opt-out damages mechanism for mass torts and consumer harm.</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I, Rule 8</w:t>
      </w:r>
    </w:p>
    <w:p>
      <w:pPr>
        <w:pStyle w:val="Bullet"/>
      </w:pPr>
      <w:r>
        <w:t xml:space="preserve">•  Companies Act, 2013, § 245</w:t>
      </w:r>
    </w:p>
    <w:p>
      <w:pPr>
        <w:pStyle w:val="Bullet"/>
      </w:pPr>
      <w:r>
        <w:t xml:space="preserve">•  Consumer Protection Act, 2019, § 35(1)(c)</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https://fpr.iura.in/lacunae/no-class-action-damages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