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LC-0017 · Environment</w:t>
      </w:r>
    </w:p>
    <w:p>
      <w:pPr>
        <w:pStyle w:val="Title"/>
      </w:pPr>
      <w:r>
        <w:t xml:space="preserve">No Climate Change Statute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has a recognised right against the adverse effects of climate change and no framework legislation to give it content.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M.K. Ranjitsinh v. Union of India, 2024 SCC OnLine SC 570</w:t>
      </w:r>
    </w:p>
    <w:p>
      <w:pPr>
        <w:pStyle w:val="Bullet"/>
      </w:pPr>
      <w:r>
        <w:t xml:space="preserve">•  Energy Conservation Act, 2001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https://fpr.iura.in/lacunae/no-climate-statute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