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LC-0010 · Banking</w:t>
      </w:r>
    </w:p>
    <w:p>
      <w:pPr>
        <w:pStyle w:val="Title"/>
      </w:pPr>
      <w:r>
        <w:t xml:space="preserve">No Cross-Border Insolvency Framework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Sections 234 and 235 of the Insolvency Code are not operational, and the UNCITRAL Model Law has not been adopted.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234–235</w:t>
      </w:r>
    </w:p>
    <w:p>
      <w:pPr>
        <w:pStyle w:val="Bullet"/>
      </w:pPr>
      <w:r>
        <w:t xml:space="preserve">•  Jet Airways (India) Ltd. v. State Bank of India, 2019 SCC OnLine NCLAT 1216</w:t>
      </w:r>
    </w:p>
    <w:p>
      <w:pPr>
        <w:pStyle w:val="Bullet"/>
      </w:pPr>
      <w:r>
        <w:t xml:space="preserve">•  Insolvency Law Committee, Report on Cross Border Insolvency (2018)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https://fpr.iura.in/lacunae/no-cross-border-insolvency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