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LC-0053 · Media</w:t>
      </w:r>
    </w:p>
    <w:p>
      <w:pPr>
        <w:pStyle w:val="Title"/>
      </w:pPr>
      <w:r>
        <w:t xml:space="preserve">No Definition of Hate Speech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Several provisions touch it; none defines it, and the Law Commission’s draft offences were not enacted.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Pravasi Bhalai Sangathan v. Union of India, (2014) 11 SCC 477</w:t>
      </w:r>
    </w:p>
    <w:p>
      <w:pPr>
        <w:pStyle w:val="Bullet"/>
      </w:pPr>
      <w:r>
        <w:t xml:space="preserve">•  Law Commission of India, Report No. 267 (2017)</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https://fpr.iura.in/lacunae/no-definition-of-hate-speech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