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LC-0050 · Tech &amp; Data</w:t>
      </w:r>
    </w:p>
    <w:p>
      <w:pPr>
        <w:pStyle w:val="Title"/>
      </w:pPr>
      <w:r>
        <w:t xml:space="preserve">Facial Recognition without a Statute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Police forces use it under no specific law, against the requirement that an intrusion on privacy be authorised by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v. Union of India, (2017) 10 SCC 1</w:t>
      </w:r>
    </w:p>
    <w:p>
      <w:pPr>
        <w:pStyle w:val="Bullet"/>
      </w:pPr>
      <w:r>
        <w:t xml:space="preserve">•  Criminal Procedure (Identification) Act, 2022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https://fpr.iura.in/lacunae/no-facial-recognition-law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