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LC-0055 · Environment</w:t>
      </w:r>
    </w:p>
    <w:p>
      <w:pPr>
        <w:pStyle w:val="Title"/>
      </w:pPr>
      <w:r>
        <w:t xml:space="preserve">Groundwater Tied to Land Ownership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Whoever owns the land may draw what lies beneath it, under a rule from 1882.</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Easements Act, 1882, § 7, illus. (g)</w:t>
      </w:r>
    </w:p>
    <w:p>
      <w:pPr>
        <w:pStyle w:val="Bullet"/>
      </w:pPr>
      <w:r>
        <w:t xml:space="preserve">•  Model Groundwater (Sustainable Management)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https://fpr.iura.in/lacunae/no-groundwater-law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