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LC-0011 · Corporate</w:t>
      </w:r>
    </w:p>
    <w:p>
      <w:pPr>
        <w:pStyle w:val="Title"/>
      </w:pPr>
      <w:r>
        <w:t xml:space="preserve">No Law on Group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Code treats each company separately; consolidation of group companies has been ordered by tribunals without statutory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Bank of India v. Videocon Industries Ltd., 2019 SCC OnLine NCLT 745</w:t>
      </w:r>
    </w:p>
    <w:p>
      <w:pPr>
        <w:pStyle w:val="Bullet"/>
      </w:pPr>
      <w:r>
        <w:t xml:space="preserve">•  Insolvency and Bankruptcy Code, 2016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https://fpr.iura.in/lacunae/no-group-insolvency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