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LC-0030 · Tax</w:t>
      </w:r>
    </w:p>
    <w:p>
      <w:pPr>
        <w:pStyle w:val="Title"/>
      </w:pPr>
      <w:r>
        <w:t xml:space="preserve">Years without a GST Appellate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tribunal the 2017 Act provides for was not constituted for years, sending every second appeal to the High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109–112</w:t>
      </w:r>
    </w:p>
    <w:p>
      <w:pPr>
        <w:pStyle w:val="Bullet"/>
      </w:pPr>
      <w:r>
        <w:t xml:space="preserve">•  Revenue Bar Assn. v. Union of India, 2019 SCC OnLine Mad 8910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https://fpr.iura.in/lacunae/no-gst-appellate-tribunal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