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LC-0032 · Tax</w:t>
      </w:r>
    </w:p>
    <w:p>
      <w:pPr>
        <w:pStyle w:val="Title"/>
      </w:pPr>
      <w:r>
        <w:t xml:space="preserve">No Tax on Inherited Wealth</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Estate duty was abolished in 1985 and wealth tax in 2015; inherited capital is untaxed until sold.</w:t>
      </w:r>
    </w:p>
    <w:p>
      <w:pPr>
        <w:pStyle w:val="Guidance"/>
      </w:pPr>
      <w:r>
        <w:t xml:space="preserve">Authorities to start from. These are places to begin, listed by the editors. Read each one in the original and check the citation before you rely on it.</w:t>
      </w:r>
    </w:p>
    <w:p>
      <w:pPr>
        <w:pStyle w:val="Bullet"/>
      </w:pPr>
      <w:r>
        <w:t xml:space="preserve">•  Estate Duty Act, 1953 (repealed 1985)</w:t>
      </w:r>
    </w:p>
    <w:p>
      <w:pPr>
        <w:pStyle w:val="Bullet"/>
      </w:pPr>
      <w:r>
        <w:t xml:space="preserve">•  Wealth-tax Act, 1957</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https://fpr.iura.in/lacunae/no-inheritance-tax</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