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LC-0036 · Securities</w:t>
      </w:r>
    </w:p>
    <w:p>
      <w:pPr>
        <w:pStyle w:val="Title"/>
      </w:pPr>
      <w:r>
        <w:t xml:space="preserve">No Route for Investors to Recover Losses from Fraud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SEBI can penalise and disgorge; defrauded investors rarely see the money.</w:t>
      </w:r>
    </w:p>
    <w:p>
      <w:pPr>
        <w:pStyle w:val="Guidance"/>
      </w:pPr>
      <w:r>
        <w:t xml:space="preserve">Authorities to start from. These are places to begin, listed by the editors. Read each one in the original and check the citation before you rely on it.</w:t>
      </w:r>
    </w:p>
    <w:p>
      <w:pPr>
        <w:pStyle w:val="Bullet"/>
      </w:pPr>
      <w:r>
        <w:t xml:space="preserve">•  Securities and Exchange Board of India Act, 1992, § 11B</w:t>
      </w:r>
    </w:p>
    <w:p>
      <w:pPr>
        <w:pStyle w:val="Bullet"/>
      </w:pPr>
      <w:r>
        <w:t xml:space="preserve">•  Companies Act, 2013, § 245</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https://fpr.iura.in/lacunae/no-investor-class-recovery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