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LC-0042 · Banking</w:t>
      </w:r>
    </w:p>
    <w:p>
      <w:pPr>
        <w:pStyle w:val="Title"/>
      </w:pPr>
      <w:r>
        <w:t xml:space="preserve">No Law on Crypto Assets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They are taxed and brought under money laundering rules, but are neither prohibited nor regulated as an asset class.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Internet &amp; Mobile Assn. of India v. RBI, (2020) 10 SCC 274</w:t>
      </w:r>
    </w:p>
    <w:p>
      <w:pPr>
        <w:pStyle w:val="Bullet"/>
      </w:pPr>
      <w:r>
        <w:t xml:space="preserve">•  Income-tax Act, 1961, § 115BBH</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https://fpr.iura.in/lacunae/no-law-on-crypto-assets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