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LC-0024 · Family</w:t>
      </w:r>
    </w:p>
    <w:p>
      <w:pPr>
        <w:pStyle w:val="Title"/>
      </w:pPr>
      <w:r>
        <w:t xml:space="preserve">No Law on International Child Abduction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has not joined the Hague Convention, and a parent’s removal of a child is dealt with case by case in habeas corpus.</w:t>
      </w:r>
    </w:p>
    <w:p>
      <w:pPr>
        <w:pStyle w:val="Guidance"/>
      </w:pPr>
      <w:r>
        <w:t xml:space="preserve">Authorities to start from. These are places to begin, listed by the editors. Read each one in the original and check the citation before you rely on it.</w:t>
      </w:r>
    </w:p>
    <w:p>
      <w:pPr>
        <w:pStyle w:val="Bullet"/>
      </w:pPr>
      <w:r>
        <w:t xml:space="preserve">•  Hague Convention on the Civil Aspects of International Child Abduction, Oct. 25, 1980, 1343 U.N.T.S. 89</w:t>
      </w:r>
    </w:p>
    <w:p>
      <w:pPr>
        <w:pStyle w:val="Bullet"/>
      </w:pPr>
      <w:r>
        <w:t xml:space="preserve">•  Law Commission of India, Report No. 263 (2016)</w:t>
      </w:r>
    </w:p>
    <w:p>
      <w:pPr>
        <w:pStyle w:val="Bullet"/>
      </w:pPr>
      <w:r>
        <w:t xml:space="preserve">•  Nithya Anand Raghavan v. State (NCT of Delhi), (2017) 8 SCC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https://fpr.iura.in/lacunae/no-law-on-international-child-abduction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