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LC-0054 · Environment</w:t>
      </w:r>
    </w:p>
    <w:p>
      <w:pPr>
        <w:pStyle w:val="Title"/>
      </w:pPr>
      <w:r>
        <w:t xml:space="preserve">No Route to Sue for Climate Harm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 recognised right against the effects of climate change, with no cause of action against emitters.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M.K. Ranjitsinh v. Union of India, 2024 SCC OnLine SC 570</w:t>
      </w:r>
    </w:p>
    <w:p>
      <w:pPr>
        <w:pStyle w:val="Bullet"/>
      </w:pPr>
      <w:r>
        <w:t xml:space="preserve">•  National Green Tribunal Act, 2010, §§ 14–15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https://fpr.iura.in/lacunae/no-liability-for-climate-damage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