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LC-0041 · Banking</w:t>
      </w:r>
    </w:p>
    <w:p>
      <w:pPr>
        <w:pStyle w:val="Title"/>
      </w:pPr>
      <w:r>
        <w:t xml:space="preserve">Customer Liability for Online Banking Fraud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Governed by a Reserve Bank circular, with no statute fixing who bears the loss.</w:t>
      </w:r>
    </w:p>
    <w:p>
      <w:pPr>
        <w:pStyle w:val="Guidance"/>
      </w:pPr>
      <w:r>
        <w:t xml:space="preserve">Authorities to start from. These are places to begin, listed by the editors. Read each one in the original and check the citation before you rely on it.</w:t>
      </w:r>
    </w:p>
    <w:p>
      <w:pPr>
        <w:pStyle w:val="Bullet"/>
      </w:pPr>
      <w:r>
        <w:t xml:space="preserve">•  Reserve Bank of India, Customer Protection: Limiting Liability of Customers in Unauthorised Electronic Banking Transactions (6 July 2017)</w:t>
      </w:r>
    </w:p>
    <w:p>
      <w:pPr>
        <w:pStyle w:val="Bullet"/>
      </w:pPr>
      <w:r>
        <w:t xml:space="preserve">•  Payment and Settlement Systems Act, 2007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https://fpr.iura.in/lacunae/no-liability-for-unauthorised-digital-transactions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