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LC-0065 · Tort</w:t>
      </w:r>
    </w:p>
    <w:p>
      <w:pPr>
        <w:pStyle w:val="Title"/>
      </w:pPr>
      <w:r>
        <w:t xml:space="preserve">No Statute on Occupiers’ Liability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duty owed to visitors and trespassers rests on English common law as it stood before England legislated.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Klaus Mittelbachert v. East India Hotels Ltd., AIR 1997 Del 201</w:t>
      </w:r>
    </w:p>
    <w:p>
      <w:pPr>
        <w:pStyle w:val="Bullet"/>
      </w:pPr>
      <w:r>
        <w:t xml:space="preserve">•  Occupiers’ Liability Act 1957, 5 &amp; 6 Eliz. 2, c. 31 (U.K.)</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https://fpr.iura.in/lacunae/no-occupiers-liability-statute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