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LC-0016 · IP</w:t>
      </w:r>
    </w:p>
    <w:p>
      <w:pPr>
        <w:pStyle w:val="Title"/>
      </w:pPr>
      <w:r>
        <w:t xml:space="preserve">No Statute on Personality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Publicity rights have been built by High Courts from privacy and passing off, without a statute and with uncertain rules on what survives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ICC Development (International) Ltd. v. Arvee Enterprises, 2003 SCC OnLine Del 2</w:t>
      </w:r>
    </w:p>
    <w:p>
      <w:pPr>
        <w:pStyle w:val="Bullet"/>
      </w:pPr>
      <w:r>
        <w:t xml:space="preserve">•  Anil Kapoor v. Simply Life India, 2023 SCC OnLine Del 6914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https://fpr.iura.in/lacunae/no-personality-rights-statute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