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LC-0004 · International (Public)</w:t>
      </w:r>
    </w:p>
    <w:p>
      <w:pPr>
        <w:pStyle w:val="Title"/>
      </w:pPr>
      <w:r>
        <w:t xml:space="preserve">No Refugee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Refugees are governed by the Foreigners Act and executive discretion; there is no statute defining who is a refugee or how a claim is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Foreigners Act, 1946</w:t>
      </w:r>
    </w:p>
    <w:p>
      <w:pPr>
        <w:pStyle w:val="Bullet"/>
      </w:pPr>
      <w:r>
        <w:t xml:space="preserve">•  National Human Rights Commission v. State of Arunachal Pradesh, (1996) 1 SCC 742</w:t>
      </w:r>
    </w:p>
    <w:p>
      <w:pPr>
        <w:pStyle w:val="Bullet"/>
      </w:pPr>
      <w:r>
        <w:t xml:space="preserve">•  Mohammad Salimullah v. Union of India, (2021) 20 SCC 191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https://fpr.iura.in/lacunae/no-refugee-law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