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LC-0008 · Tort</w:t>
      </w:r>
    </w:p>
    <w:p>
      <w:pPr>
        <w:pStyle w:val="Title"/>
      </w:pPr>
      <w:r>
        <w:t xml:space="preserve">No Statute on State Liability in Tort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liability of the State for its servants’ torts still turns on Article 300 and a nineteenth-century distinction; the Law Commission proposed legislation in 1956.</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300</w:t>
      </w:r>
    </w:p>
    <w:p>
      <w:pPr>
        <w:pStyle w:val="Bullet"/>
      </w:pPr>
      <w:r>
        <w:t xml:space="preserve">•  Law Commission of India, Report No. 1, Liability of the State in Tort (1956)</w:t>
      </w:r>
    </w:p>
    <w:p>
      <w:pPr>
        <w:pStyle w:val="Bullet"/>
      </w:pPr>
      <w:r>
        <w:t xml:space="preserve">•  Kasturi Lal Ralia Ram Jain v. State of U.P., AIR 1965 SC 1039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https://fpr.iura.in/lacunae/no-state-liability-statute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