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LC-0070 · Constitutional</w:t>
      </w:r>
    </w:p>
    <w:p>
      <w:pPr>
        <w:pStyle w:val="Title"/>
      </w:pPr>
      <w:r>
        <w:t xml:space="preserve">No Statute on Complaints against Judges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Short of impeachment, misconduct by a judge is dealt with by an in-house procedure that has no statutory basis.</w:t>
      </w:r>
    </w:p>
    <w:p>
      <w:pPr>
        <w:pStyle w:val="Guidance"/>
      </w:pPr>
      <w:r>
        <w:t xml:space="preserve">Authorities to start from. These are places to begin, listed by the editors. Read each one in the original and check the citation before you rely on it.</w:t>
      </w:r>
    </w:p>
    <w:p>
      <w:pPr>
        <w:pStyle w:val="Bullet"/>
      </w:pPr>
      <w:r>
        <w:t xml:space="preserve">•  Judges (Inquiry) Act, 1968</w:t>
      </w:r>
    </w:p>
    <w:p>
      <w:pPr>
        <w:pStyle w:val="Bullet"/>
      </w:pPr>
      <w:r>
        <w:t xml:space="preserve">•  C. Ravichandran Iyer v. Justice A.M. Bhattacharjee, (1995) 5 SCC 457</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https://fpr.iura.in/lacunae/no-statute-on-complaints-against-judges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