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Lacuna · LC-0001 · Tort</w:t>
      </w:r>
    </w:p>
    <w:p>
      <w:pPr>
        <w:pStyle w:val="Title"/>
      </w:pPr>
      <w:r>
        <w:t xml:space="preserve">No Statutory Tort of Privacy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gap</w:t>
      </w:r>
    </w:p>
    <w:p>
      <w:pPr>
        <w:pStyle w:val="Guidance"/>
      </w:pPr>
      <w:r>
        <w:t xml:space="preserve">What Indian law does not cover, stated precisely.</w:t>
      </w:r>
    </w:p>
    <w:p/>
    <w:p>
      <w:pPr>
        <w:pStyle w:val="Heading1"/>
      </w:pPr>
      <w:r>
        <w:t xml:space="preserve">Who is affected</w:t>
      </w:r>
    </w:p>
    <w:p>
      <w:pPr>
        <w:pStyle w:val="Guidance"/>
      </w:pPr>
      <w:r>
        <w:t xml:space="preserve">The people or cases left without a rule or a remedy.</w:t>
      </w:r>
    </w:p>
    <w:p/>
    <w:p>
      <w:pPr>
        <w:pStyle w:val="Heading1"/>
      </w:pPr>
      <w:r>
        <w:t xml:space="preserve">How the gap arose</w:t>
      </w:r>
    </w:p>
    <w:p>
      <w:pPr>
        <w:pStyle w:val="Guidance"/>
      </w:pPr>
      <w:r>
        <w:t xml:space="preserve">Bills that lapsed, reports not acted on, cases that left it to Parliament.</w:t>
      </w:r>
    </w:p>
    <w:p/>
    <w:p>
      <w:pPr>
        <w:pStyle w:val="Heading1"/>
      </w:pPr>
      <w:r>
        <w:t xml:space="preserve">What others do</w:t>
      </w:r>
    </w:p>
    <w:p>
      <w:pPr>
        <w:pStyle w:val="Guidance"/>
      </w:pPr>
      <w:r>
        <w:t xml:space="preserve">How one or two other countries deal with it.</w:t>
      </w:r>
    </w:p>
    <w:p/>
    <w:p>
      <w:pPr>
        <w:pStyle w:val="Heading1"/>
      </w:pPr>
      <w:r>
        <w:t xml:space="preserve">What could be done</w:t>
      </w:r>
    </w:p>
    <w:p>
      <w:pPr>
        <w:pStyle w:val="Guidance"/>
      </w:pPr>
      <w:r>
        <w:t xml:space="preserve">The realistic options and the one you prefer.</w:t>
      </w:r>
    </w:p>
    <w:p/>
    <w:p>
      <w:pPr>
        <w:pStyle w:val="Heading1"/>
      </w:pPr>
      <w:r>
        <w:t xml:space="preserve">Notes for the writer (delete before submitting)</w:t>
      </w:r>
    </w:p>
    <w:p>
      <w:pPr>
        <w:pStyle w:val="Guidance"/>
      </w:pPr>
      <w:r>
        <w:t xml:space="preserve">Scope of this entry. Privacy is a fundamental right against the State, but a person whose privacy is invaded by another person has no clear civil cause of action.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K.S. Puttaswamy v. Union of India, (2017) 10 SCC 1</w:t>
      </w:r>
    </w:p>
    <w:p>
      <w:pPr>
        <w:pStyle w:val="Bullet"/>
      </w:pPr>
      <w:r>
        <w:t xml:space="preserve">•  R. Rajagopal v. State of T.N., (1994) 6 SCC 632</w:t>
      </w:r>
    </w:p>
    <w:p>
      <w:pPr>
        <w:pStyle w:val="Bullet"/>
      </w:pPr>
      <w:r>
        <w:t xml:space="preserve">•  Digital Personal Data Protection Act, 2023</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https://fpr.iura.in/lacunae/no-statutory-tort-of-privacy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