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LC-0003 · Human Rights</w:t>
      </w:r>
    </w:p>
    <w:p>
      <w:pPr>
        <w:pStyle w:val="Title"/>
      </w:pPr>
      <w:r>
        <w:t xml:space="preserve">No Law against Torture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 signed the Convention against Torture in 1997 and has not ratified it or enacted a stand-alone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against Torture and Other Cruel, Inhuman or Degrading Treatment or Punishment, Dec. 10, 1984, 1465 U.N.T.S. 85</w:t>
      </w:r>
    </w:p>
    <w:p>
      <w:pPr>
        <w:pStyle w:val="Bullet"/>
      </w:pPr>
      <w:r>
        <w:t xml:space="preserve">•  Law Commission of India, Report No. 273 (2017)</w:t>
      </w:r>
    </w:p>
    <w:p>
      <w:pPr>
        <w:pStyle w:val="Bullet"/>
      </w:pPr>
      <w:r>
        <w:t xml:space="preserve">•  D.K. Basu v. State of W.B., (1997) 1 SCC 416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https://fpr.iura.in/lacunae/no-torture-law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