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Lacuna · LC-0027 · Labour</w:t>
      </w:r>
    </w:p>
    <w:p>
      <w:pPr>
        <w:pStyle w:val="Title"/>
      </w:pPr>
      <w:r>
        <w:t xml:space="preserve">No Remedy for Dismissed Managers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gap</w:t>
      </w:r>
    </w:p>
    <w:p>
      <w:pPr>
        <w:pStyle w:val="Guidance"/>
      </w:pPr>
      <w:r>
        <w:t xml:space="preserve">What Indian law does not cover, stated precisely.</w:t>
      </w:r>
    </w:p>
    <w:p/>
    <w:p>
      <w:pPr>
        <w:pStyle w:val="Heading1"/>
      </w:pPr>
      <w:r>
        <w:t xml:space="preserve">Who is affected</w:t>
      </w:r>
    </w:p>
    <w:p>
      <w:pPr>
        <w:pStyle w:val="Guidance"/>
      </w:pPr>
      <w:r>
        <w:t xml:space="preserve">The people or cases left without a rule or a remedy.</w:t>
      </w:r>
    </w:p>
    <w:p/>
    <w:p>
      <w:pPr>
        <w:pStyle w:val="Heading1"/>
      </w:pPr>
      <w:r>
        <w:t xml:space="preserve">How the gap arose</w:t>
      </w:r>
    </w:p>
    <w:p>
      <w:pPr>
        <w:pStyle w:val="Guidance"/>
      </w:pPr>
      <w:r>
        <w:t xml:space="preserve">Bills that lapsed, reports not acted on, cases that left it to Parliament.</w:t>
      </w:r>
    </w:p>
    <w:p/>
    <w:p>
      <w:pPr>
        <w:pStyle w:val="Heading1"/>
      </w:pPr>
      <w:r>
        <w:t xml:space="preserve">What others do</w:t>
      </w:r>
    </w:p>
    <w:p>
      <w:pPr>
        <w:pStyle w:val="Guidance"/>
      </w:pPr>
      <w:r>
        <w:t xml:space="preserve">How one or two other countries deal with it.</w:t>
      </w:r>
    </w:p>
    <w:p/>
    <w:p>
      <w:pPr>
        <w:pStyle w:val="Heading1"/>
      </w:pPr>
      <w:r>
        <w:t xml:space="preserve">What could be done</w:t>
      </w:r>
    </w:p>
    <w:p>
      <w:pPr>
        <w:pStyle w:val="Guidance"/>
      </w:pPr>
      <w:r>
        <w:t xml:space="preserve">The realistic options and the one you prefer.</w:t>
      </w:r>
    </w:p>
    <w:p/>
    <w:p>
      <w:pPr>
        <w:pStyle w:val="Heading1"/>
      </w:pPr>
      <w:r>
        <w:t xml:space="preserve">Notes for the writer (delete before submitting)</w:t>
      </w:r>
    </w:p>
    <w:p>
      <w:pPr>
        <w:pStyle w:val="Guidance"/>
      </w:pPr>
      <w:r>
        <w:t xml:space="preserve">Scope of this entry. Employees outside the definition of "workman" have only a contract claim for notice pay.</w:t>
      </w:r>
    </w:p>
    <w:p>
      <w:pPr>
        <w:pStyle w:val="Guidance"/>
      </w:pPr>
      <w:r>
        <w:t xml:space="preserve">Authorities to start from. These are places to begin, listed by the editors. Read each one in the original and check the citation before you rely on it.</w:t>
      </w:r>
    </w:p>
    <w:p>
      <w:pPr>
        <w:pStyle w:val="Bullet"/>
      </w:pPr>
      <w:r>
        <w:t xml:space="preserve">•  Industrial Disputes Act, 1947, § 2(s)</w:t>
      </w:r>
    </w:p>
    <w:p>
      <w:pPr>
        <w:pStyle w:val="Bullet"/>
      </w:pPr>
      <w:r>
        <w:t xml:space="preserve">•  S.S. Shetty v. Bharat Nidhi Ltd., AIR 1958 SC 12</w:t>
      </w:r>
    </w:p>
    <w:p>
      <w:pPr>
        <w:pStyle w:val="Guidance"/>
      </w:pPr>
      <w:r>
        <w:t xml:space="preserve">Length. At least 3,000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https://fpr.iura.in/lacunae/no-unfair-dismissal-for-managers</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