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LN-0025 · Tort</w:t>
      </w:r>
    </w:p>
    <w:p>
      <w:pPr>
        <w:pStyle w:val="Title"/>
      </w:pPr>
      <w:r>
        <w:t xml:space="preserve">Hazardous Enterprise, from Rylands to Oleum Gas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path from strict liability with exceptions to absolute liability without them, and the doubt in the Bhopal settlement review.</w:t>
      </w:r>
    </w:p>
    <w:p>
      <w:pPr>
        <w:pStyle w:val="Guidance"/>
      </w:pPr>
      <w:r>
        <w:t xml:space="preserve">Authorities to start from. These are places to begin, listed by the editors. Read each one in the original and check the citation before you rely on it.</w:t>
      </w:r>
    </w:p>
    <w:p>
      <w:pPr>
        <w:pStyle w:val="Bullet"/>
      </w:pPr>
      <w:r>
        <w:t xml:space="preserve">•  Rylands v. Fletcher, (1868) LR 3 HL 330</w:t>
      </w:r>
    </w:p>
    <w:p>
      <w:pPr>
        <w:pStyle w:val="Bullet"/>
      </w:pPr>
      <w:r>
        <w:t xml:space="preserve">•  M.C. Mehta v. Union of India, (1987) 1 SCC 395</w:t>
      </w:r>
    </w:p>
    <w:p>
      <w:pPr>
        <w:pStyle w:val="Bullet"/>
      </w:pPr>
      <w:r>
        <w:t xml:space="preserve">•  Union Carbide Corpn. v. Union of India, (1991) 4 SCC 584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https://fpr.iura.in/lineages/absolute-liability-lineage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