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LN-0035 · Family</w:t>
      </w:r>
    </w:p>
    <w:p>
      <w:pPr>
        <w:pStyle w:val="Title"/>
      </w:pPr>
      <w:r>
        <w:t xml:space="preserve">Adoption outside Hindu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guardianship as the only route to a secular right to adopt under the juvenile justice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Lakshmi Kant Pandey v. Union of India, (1984) 2 SCC 244</w:t>
      </w:r>
    </w:p>
    <w:p>
      <w:pPr>
        <w:pStyle w:val="Bullet"/>
      </w:pPr>
      <w:r>
        <w:t xml:space="preserve">•  Shabnam Hashmi v. Union of India, (2014) 4 SCC 1</w:t>
      </w:r>
    </w:p>
    <w:p>
      <w:pPr>
        <w:pStyle w:val="Bullet"/>
      </w:pPr>
      <w:r>
        <w:t xml:space="preserve">•  Juvenile Justice (Care and Protection of Children) Act, 2015, ch. VIII</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https://fpr.iura.in/lineages/adoption-across-religions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