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LN-0075 · Criminal</w:t>
      </w:r>
    </w:p>
    <w:p>
      <w:pPr>
        <w:pStyle w:val="Title"/>
      </w:pPr>
      <w:r>
        <w:t xml:space="preserve">Adultery, from Yusuf Abdul Aziz to Joseph Shine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Sixty-four years of challenges to Section 497, twice upheld as a protection for women and then struck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Yusuf Abdul Aziz v. State of Bombay, AIR 1954 SC 321</w:t>
      </w:r>
    </w:p>
    <w:p>
      <w:pPr>
        <w:pStyle w:val="Bullet"/>
      </w:pPr>
      <w:r>
        <w:t xml:space="preserve">•  Sowmithri Vishnu v. Union of India, 1985 Supp SCC 137</w:t>
      </w:r>
    </w:p>
    <w:p>
      <w:pPr>
        <w:pStyle w:val="Bullet"/>
      </w:pPr>
      <w:r>
        <w:t xml:space="preserve">•  Joseph Shine v. Union of India, (2019) 3 SCC 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https://fpr.iura.in/lineages/adultery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